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6C" w:rsidRDefault="00EE746C" w:rsidP="004F49A4">
      <w:pPr>
        <w:pStyle w:val="Head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2410"/>
      </w:tblGrid>
      <w:tr w:rsidR="00EE746C" w:rsidRPr="008A1CD5">
        <w:tc>
          <w:tcPr>
            <w:tcW w:w="3119" w:type="dxa"/>
          </w:tcPr>
          <w:p w:rsidR="00EE746C" w:rsidRPr="008A1CD5" w:rsidRDefault="00EE746C" w:rsidP="00354E6C">
            <w:pPr>
              <w:pStyle w:val="Contenudetableau"/>
              <w:snapToGrid w:val="0"/>
              <w:rPr>
                <w:rFonts w:ascii="Arial Narrow" w:hAnsi="Arial Narrow" w:cs="Arial Narrow"/>
              </w:rPr>
            </w:pPr>
            <w:r w:rsidRPr="00F92AC2">
              <w:rPr>
                <w:rFonts w:ascii="Arial Narrow" w:hAnsi="Arial Narrow" w:cs="Arial Narrow"/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ec-TEMPUS_fr" style="width:96.75pt;height:102pt;visibility:visible">
                  <v:imagedata r:id="rId5" o:title=""/>
                </v:shape>
              </w:pict>
            </w:r>
          </w:p>
        </w:tc>
        <w:tc>
          <w:tcPr>
            <w:tcW w:w="2410" w:type="dxa"/>
          </w:tcPr>
          <w:p w:rsidR="00EE746C" w:rsidRPr="008A1CD5" w:rsidRDefault="00EE746C" w:rsidP="00354E6C">
            <w:pPr>
              <w:pStyle w:val="Contenudetableau"/>
              <w:snapToGrid w:val="0"/>
              <w:rPr>
                <w:rFonts w:ascii="Arial Narrow" w:hAnsi="Arial Narrow" w:cs="Arial Narrow"/>
                <w:lang w:val="ru-RU"/>
              </w:rPr>
            </w:pPr>
            <w:r>
              <w:rPr>
                <w:noProof/>
                <w:lang w:val="en-US" w:eastAsia="en-US"/>
              </w:rPr>
              <w:pict>
                <v:shape id="Рисунок 2" o:spid="_x0000_s1026" type="#_x0000_t75" alt="Description : G:\international\TEMPUS IV\4-LMPSM_2011 Public migrants\LOGOS\LOGO-LMPSM-Final\Logo-LMPSM-Vert-WEB.jpg" style="position:absolute;margin-left:184.95pt;margin-top:-5.8pt;width:111.75pt;height:99.95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</w:tr>
    </w:tbl>
    <w:p w:rsidR="00EE746C" w:rsidRDefault="00EE746C" w:rsidP="004F49A4">
      <w:pPr>
        <w:pStyle w:val="Contenudetableau"/>
        <w:snapToGrid w:val="0"/>
        <w:jc w:val="center"/>
        <w:rPr>
          <w:color w:val="800080"/>
          <w:sz w:val="28"/>
          <w:szCs w:val="28"/>
          <w:lang w:val="ru-RU"/>
        </w:rPr>
      </w:pPr>
    </w:p>
    <w:p w:rsidR="00EE746C" w:rsidRPr="00907192" w:rsidRDefault="00EE746C" w:rsidP="004F49A4">
      <w:pPr>
        <w:pStyle w:val="Header"/>
        <w:jc w:val="both"/>
      </w:pPr>
      <w:r w:rsidRPr="00907192">
        <w:t>La date de la création : le 21 septembre 2012</w:t>
      </w:r>
    </w:p>
    <w:p w:rsidR="00EE746C" w:rsidRPr="00907192" w:rsidRDefault="00EE746C" w:rsidP="004F49A4">
      <w:pPr>
        <w:pStyle w:val="Header"/>
        <w:jc w:val="both"/>
      </w:pPr>
    </w:p>
    <w:p w:rsidR="00EE746C" w:rsidRDefault="00EE746C" w:rsidP="004F49A4">
      <w:pPr>
        <w:pStyle w:val="Header"/>
        <w:jc w:val="both"/>
      </w:pPr>
      <w:r w:rsidRPr="00907192">
        <w:t>Le code du document 13-2</w:t>
      </w:r>
    </w:p>
    <w:p w:rsidR="00EE746C" w:rsidRPr="004F49A4" w:rsidRDefault="00EE746C" w:rsidP="004F49A4">
      <w:pPr>
        <w:pStyle w:val="Contenudetableau"/>
        <w:snapToGrid w:val="0"/>
        <w:jc w:val="center"/>
        <w:rPr>
          <w:color w:val="800080"/>
          <w:sz w:val="28"/>
          <w:szCs w:val="28"/>
          <w:lang w:val="en-US"/>
        </w:rPr>
      </w:pPr>
    </w:p>
    <w:p w:rsidR="00EE746C" w:rsidRPr="00D90DFF" w:rsidRDefault="00EE746C" w:rsidP="004F49A4">
      <w:pPr>
        <w:pStyle w:val="Contenudetableau"/>
        <w:snapToGrid w:val="0"/>
        <w:jc w:val="center"/>
        <w:rPr>
          <w:sz w:val="28"/>
          <w:szCs w:val="28"/>
        </w:rPr>
      </w:pPr>
      <w:r w:rsidRPr="00D90DFF">
        <w:rPr>
          <w:sz w:val="28"/>
          <w:szCs w:val="28"/>
        </w:rPr>
        <w:t xml:space="preserve">Fiche de métier </w:t>
      </w:r>
    </w:p>
    <w:p w:rsidR="00EE746C" w:rsidRPr="00F34C90" w:rsidRDefault="00EE746C" w:rsidP="004F49A4">
      <w:pPr>
        <w:pStyle w:val="Contenudetableau"/>
        <w:snapToGrid w:val="0"/>
        <w:jc w:val="center"/>
        <w:rPr>
          <w:color w:val="CC99FF"/>
          <w:sz w:val="28"/>
          <w:szCs w:val="28"/>
        </w:rPr>
      </w:pPr>
    </w:p>
    <w:p w:rsidR="00EE746C" w:rsidRDefault="00EE746C" w:rsidP="004F49A4">
      <w:pPr>
        <w:jc w:val="center"/>
      </w:pPr>
      <w:r w:rsidRPr="00B25507">
        <w:rPr>
          <w:lang w:val="kk-KZ"/>
        </w:rPr>
        <w:t>Le travail social avec les migrants</w:t>
      </w:r>
    </w:p>
    <w:p w:rsidR="00EE746C" w:rsidRPr="00907192" w:rsidRDefault="00EE746C" w:rsidP="004F49A4">
      <w:pPr>
        <w:jc w:val="center"/>
      </w:pPr>
    </w:p>
    <w:tbl>
      <w:tblPr>
        <w:tblW w:w="918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7200"/>
      </w:tblGrid>
      <w:tr w:rsidR="00EE746C" w:rsidRPr="00D64BE5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pPr>
              <w:rPr>
                <w:i/>
                <w:iCs/>
              </w:rPr>
            </w:pPr>
            <w:r w:rsidRPr="00D64BE5">
              <w:rPr>
                <w:i/>
                <w:iCs/>
              </w:rPr>
              <w:t>les catégories d'évaluation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pPr>
              <w:rPr>
                <w:i/>
                <w:iCs/>
              </w:rPr>
            </w:pPr>
            <w:r w:rsidRPr="00D64BE5">
              <w:rPr>
                <w:i/>
                <w:iCs/>
              </w:rPr>
              <w:t>caractéristiques significatives</w:t>
            </w:r>
          </w:p>
        </w:tc>
      </w:tr>
      <w:tr w:rsidR="00EE746C" w:rsidRPr="00D64BE5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r w:rsidRPr="00D64BE5">
              <w:t>titre de profession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46C" w:rsidRPr="00D64BE5" w:rsidRDefault="00EE746C" w:rsidP="00354E6C">
            <w:pPr>
              <w:snapToGrid w:val="0"/>
            </w:pPr>
            <w:r w:rsidRPr="00D64BE5">
              <w:rPr>
                <w:lang w:val="kk-KZ"/>
              </w:rPr>
              <w:t>Le travail social avec les migrants</w:t>
            </w:r>
          </w:p>
        </w:tc>
      </w:tr>
      <w:tr w:rsidR="00EE746C" w:rsidRPr="00D64BE5"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r w:rsidRPr="00D64BE5">
              <w:t>secteur professionnel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46C" w:rsidRPr="00D64BE5" w:rsidRDefault="00EE746C" w:rsidP="00354E6C">
            <w:pPr>
              <w:snapToGrid w:val="0"/>
              <w:rPr>
                <w:lang w:val="kk-KZ"/>
              </w:rPr>
            </w:pPr>
            <w:r w:rsidRPr="00D64BE5">
              <w:rPr>
                <w:lang w:val="kk-KZ"/>
              </w:rPr>
              <w:t>- Le ministère du travail et de la protection sociale</w:t>
            </w:r>
          </w:p>
          <w:p w:rsidR="00EE746C" w:rsidRPr="00D64BE5" w:rsidRDefault="00EE746C" w:rsidP="00354E6C">
            <w:pPr>
              <w:snapToGrid w:val="0"/>
              <w:rPr>
                <w:lang w:val="kk-KZ"/>
              </w:rPr>
            </w:pPr>
            <w:r w:rsidRPr="00D64BE5">
              <w:rPr>
                <w:lang w:val="kk-KZ"/>
              </w:rPr>
              <w:t>- La gestion de la coordination de l'emploi et des programmes sociaux</w:t>
            </w:r>
          </w:p>
          <w:p w:rsidR="00EE746C" w:rsidRPr="00D64BE5" w:rsidRDefault="00EE746C" w:rsidP="00354E6C">
            <w:pPr>
              <w:snapToGrid w:val="0"/>
              <w:rPr>
                <w:lang w:val="kk-KZ"/>
              </w:rPr>
            </w:pPr>
            <w:r w:rsidRPr="00D64BE5">
              <w:rPr>
                <w:lang w:val="kk-KZ"/>
              </w:rPr>
              <w:t>- Les départements  de l'emploi et des programmes sociaux</w:t>
            </w:r>
          </w:p>
          <w:p w:rsidR="00EE746C" w:rsidRPr="00D64BE5" w:rsidRDefault="00EE746C" w:rsidP="00354E6C">
            <w:pPr>
              <w:snapToGrid w:val="0"/>
              <w:rPr>
                <w:lang w:val="kk-KZ"/>
              </w:rPr>
            </w:pPr>
            <w:r w:rsidRPr="00D64BE5">
              <w:rPr>
                <w:lang w:val="kk-KZ"/>
              </w:rPr>
              <w:t>- La gestion de la politique intérieure</w:t>
            </w:r>
          </w:p>
          <w:p w:rsidR="00EE746C" w:rsidRPr="00D64BE5" w:rsidRDefault="00EE746C" w:rsidP="00354E6C">
            <w:pPr>
              <w:snapToGrid w:val="0"/>
              <w:rPr>
                <w:lang w:val="kk-KZ"/>
              </w:rPr>
            </w:pPr>
            <w:r w:rsidRPr="00D64BE5">
              <w:rPr>
                <w:lang w:val="kk-KZ"/>
              </w:rPr>
              <w:t>- La police migratoire</w:t>
            </w:r>
          </w:p>
          <w:p w:rsidR="00EE746C" w:rsidRPr="00D64BE5" w:rsidRDefault="00EE746C" w:rsidP="00354E6C">
            <w:pPr>
              <w:snapToGrid w:val="0"/>
              <w:rPr>
                <w:lang w:val="kk-KZ"/>
              </w:rPr>
            </w:pPr>
            <w:r w:rsidRPr="00D64BE5">
              <w:rPr>
                <w:lang w:val="kk-KZ"/>
              </w:rPr>
              <w:t>- Le centre de l'adaptation pour</w:t>
            </w:r>
            <w:r w:rsidRPr="00D64BE5">
              <w:t xml:space="preserve"> les</w:t>
            </w:r>
            <w:r w:rsidRPr="00D64BE5">
              <w:rPr>
                <w:lang w:val="kk-KZ"/>
              </w:rPr>
              <w:t xml:space="preserve"> </w:t>
            </w:r>
            <w:r w:rsidRPr="00D64BE5">
              <w:t>rapatriés</w:t>
            </w:r>
          </w:p>
        </w:tc>
      </w:tr>
      <w:tr w:rsidR="00EE746C" w:rsidRPr="00D64BE5"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r w:rsidRPr="00D64BE5">
              <w:t>Conditions d'accès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46C" w:rsidRPr="00D64BE5" w:rsidRDefault="00EE746C" w:rsidP="00354E6C">
            <w:r>
              <w:t xml:space="preserve"> Le diplôme du  bachelier </w:t>
            </w:r>
            <w:r w:rsidRPr="00D64BE5">
              <w:t xml:space="preserve"> de travail social</w:t>
            </w:r>
          </w:p>
        </w:tc>
      </w:tr>
      <w:tr w:rsidR="00EE746C" w:rsidRPr="00D64BE5"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r w:rsidRPr="00D64BE5">
              <w:t>activité professionnelle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46C" w:rsidRPr="00D64BE5" w:rsidRDefault="00EE746C" w:rsidP="00354E6C">
            <w:pPr>
              <w:snapToGrid w:val="0"/>
            </w:pPr>
            <w:r w:rsidRPr="00D64BE5">
              <w:t>- La réhabilitation sociale,</w:t>
            </w:r>
            <w:r>
              <w:t xml:space="preserve"> </w:t>
            </w:r>
            <w:r w:rsidRPr="00D64BE5">
              <w:t xml:space="preserve">psychologique et l'intégration des migrants à la société </w:t>
            </w:r>
          </w:p>
          <w:p w:rsidR="00EE746C" w:rsidRPr="00D64BE5" w:rsidRDefault="00EE746C" w:rsidP="00354E6C">
            <w:pPr>
              <w:snapToGrid w:val="0"/>
            </w:pPr>
            <w:r w:rsidRPr="00D64BE5">
              <w:t>- Le soutien des jeunes migrants au marché du travail</w:t>
            </w:r>
          </w:p>
          <w:p w:rsidR="00EE746C" w:rsidRPr="00226DB8" w:rsidRDefault="00EE746C" w:rsidP="00354E6C">
            <w:pPr>
              <w:snapToGrid w:val="0"/>
            </w:pPr>
            <w:r w:rsidRPr="00226DB8">
              <w:t xml:space="preserve">- L'orientation syndicale des jeunes migrants </w:t>
            </w:r>
          </w:p>
          <w:p w:rsidR="00EE746C" w:rsidRPr="00D64BE5" w:rsidRDefault="00EE746C" w:rsidP="00354E6C">
            <w:pPr>
              <w:snapToGrid w:val="0"/>
            </w:pPr>
            <w:r w:rsidRPr="00D64BE5">
              <w:t>- L'organisation des cours de langue pour les migrants</w:t>
            </w:r>
          </w:p>
        </w:tc>
      </w:tr>
      <w:tr w:rsidR="00EE746C" w:rsidRPr="00D64BE5"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r w:rsidRPr="00D64BE5">
              <w:t>Général de spécialiste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46C" w:rsidRPr="00D64BE5" w:rsidRDefault="00EE746C" w:rsidP="00354E6C">
            <w:pPr>
              <w:tabs>
                <w:tab w:val="left" w:pos="375"/>
                <w:tab w:val="left" w:pos="517"/>
              </w:tabs>
              <w:snapToGrid w:val="0"/>
            </w:pPr>
            <w:r w:rsidRPr="00D64BE5">
              <w:t>1. La compétence en  relations interpersonnelles</w:t>
            </w:r>
          </w:p>
          <w:p w:rsidR="00EE746C" w:rsidRPr="00D64BE5" w:rsidRDefault="00EE746C" w:rsidP="00354E6C">
            <w:pPr>
              <w:tabs>
                <w:tab w:val="left" w:pos="375"/>
                <w:tab w:val="left" w:pos="517"/>
              </w:tabs>
              <w:snapToGrid w:val="0"/>
            </w:pPr>
            <w:r w:rsidRPr="00D64BE5">
              <w:t>2. La capacité à mettre en pratique les connaissances de base professionnelles</w:t>
            </w:r>
          </w:p>
          <w:p w:rsidR="00EE746C" w:rsidRPr="00D64BE5" w:rsidRDefault="00EE746C" w:rsidP="00354E6C">
            <w:pPr>
              <w:tabs>
                <w:tab w:val="left" w:pos="375"/>
                <w:tab w:val="left" w:pos="517"/>
              </w:tabs>
              <w:snapToGrid w:val="0"/>
            </w:pPr>
            <w:r w:rsidRPr="00D64BE5">
              <w:t>3. La capacité de la recherche, de l'analyse et de l'utilisation de l'information</w:t>
            </w:r>
          </w:p>
          <w:p w:rsidR="00EE746C" w:rsidRPr="00D64BE5" w:rsidRDefault="00EE746C" w:rsidP="00354E6C">
            <w:pPr>
              <w:tabs>
                <w:tab w:val="left" w:pos="375"/>
                <w:tab w:val="left" w:pos="517"/>
              </w:tabs>
              <w:snapToGrid w:val="0"/>
            </w:pPr>
            <w:r w:rsidRPr="00D64BE5">
              <w:t xml:space="preserve">4. La compétence en activité de recherche </w:t>
            </w:r>
          </w:p>
          <w:p w:rsidR="00EE746C" w:rsidRPr="00D64BE5" w:rsidRDefault="00EE746C" w:rsidP="00354E6C">
            <w:pPr>
              <w:tabs>
                <w:tab w:val="left" w:pos="375"/>
                <w:tab w:val="left" w:pos="517"/>
              </w:tabs>
              <w:snapToGrid w:val="0"/>
              <w:rPr>
                <w:i/>
                <w:iCs/>
              </w:rPr>
            </w:pPr>
            <w:r w:rsidRPr="00D64BE5">
              <w:t>5. La capacité à utiliser les technologies informatiques dans l'activité professionnelle</w:t>
            </w:r>
          </w:p>
        </w:tc>
      </w:tr>
      <w:tr w:rsidR="00EE746C" w:rsidRPr="00D64BE5"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r w:rsidRPr="00D64BE5">
              <w:t>Compétence professionnelle spécifique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>La capacité à appliquer la législation du Kazakhstan dans le travail avec les migrants</w:t>
            </w:r>
          </w:p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>L'orientation libre dans les problèmes actuels des migrants</w:t>
            </w:r>
          </w:p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>La capacité à projeter les programmes sociaux pour le travail avec les migrants</w:t>
            </w:r>
          </w:p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>La compétence en procès de professionalisation des migrants (la capacité à aider à définir professionnellement)</w:t>
            </w:r>
          </w:p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 xml:space="preserve">La capacité à s'orienter dans les problèmes spécifiques des migrants de sexe différent </w:t>
            </w:r>
          </w:p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>La capacité à utiliser les particularités psychologiques des divers peuples dans l'activité professionnelle</w:t>
            </w:r>
          </w:p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>La compétence en consultation psychologique</w:t>
            </w:r>
          </w:p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>La capacité à projeter les programmes pour l'enseignement des adultes</w:t>
            </w:r>
          </w:p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 xml:space="preserve">La capacité à organiser les actions correctionnelles avec les enfants des migrants adressées à l'adaptation sociale </w:t>
            </w:r>
          </w:p>
          <w:p w:rsidR="00EE746C" w:rsidRPr="00D64BE5" w:rsidRDefault="00EE746C" w:rsidP="00354E6C">
            <w:pPr>
              <w:pStyle w:val="Contenudetableau"/>
              <w:numPr>
                <w:ilvl w:val="0"/>
                <w:numId w:val="1"/>
              </w:numPr>
              <w:tabs>
                <w:tab w:val="clear" w:pos="720"/>
                <w:tab w:val="num" w:pos="125"/>
              </w:tabs>
              <w:snapToGrid w:val="0"/>
              <w:ind w:left="485"/>
            </w:pPr>
            <w:r w:rsidRPr="00D64BE5">
              <w:t>La capacité à travailler avec les migrants trouvant aux états  défavorables (le stress, la dépression)</w:t>
            </w:r>
          </w:p>
          <w:p w:rsidR="00EE746C" w:rsidRPr="00D64BE5" w:rsidRDefault="00EE746C" w:rsidP="00354E6C">
            <w:pPr>
              <w:numPr>
                <w:ilvl w:val="0"/>
                <w:numId w:val="1"/>
              </w:numPr>
              <w:tabs>
                <w:tab w:val="clear" w:pos="720"/>
                <w:tab w:val="num" w:pos="125"/>
                <w:tab w:val="left" w:pos="375"/>
              </w:tabs>
              <w:snapToGrid w:val="0"/>
              <w:ind w:left="485"/>
              <w:rPr>
                <w:i/>
                <w:iCs/>
              </w:rPr>
            </w:pPr>
            <w:r w:rsidRPr="00D64BE5">
              <w:t>La compétence en questions du diagnostic psychologique des migrants</w:t>
            </w:r>
          </w:p>
          <w:p w:rsidR="00EE746C" w:rsidRPr="00D64BE5" w:rsidRDefault="00EE746C" w:rsidP="00354E6C">
            <w:pPr>
              <w:numPr>
                <w:ilvl w:val="0"/>
                <w:numId w:val="1"/>
              </w:numPr>
              <w:tabs>
                <w:tab w:val="num" w:pos="125"/>
                <w:tab w:val="left" w:pos="375"/>
              </w:tabs>
              <w:snapToGrid w:val="0"/>
              <w:ind w:left="485"/>
            </w:pPr>
            <w:r w:rsidRPr="00D64BE5">
              <w:t>La possession de la langue étrangère</w:t>
            </w:r>
          </w:p>
        </w:tc>
      </w:tr>
      <w:tr w:rsidR="00EE746C" w:rsidRPr="00D64BE5"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r>
              <w:t>C</w:t>
            </w:r>
            <w:r w:rsidRPr="00D64BE5">
              <w:t>onnaissances nécessaires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746C" w:rsidRPr="00D64BE5" w:rsidRDefault="00EE746C" w:rsidP="00354E6C">
            <w:pPr>
              <w:snapToGrid w:val="0"/>
              <w:ind w:left="125"/>
            </w:pPr>
            <w:r w:rsidRPr="00D64BE5">
              <w:t>1. La connaissance de la législation migratoire du Kazakhstan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2. La connaissance de la technologie de la consultation socio-psychologique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3. Les connaissances des méthodes  du diagnostic socio-psychologique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4. La connaissance des bases conceptuelles de la professionnalisation de la personnalité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5. La connaissance des bases méthodologiques du travail social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6. La connaissance du contenu du travail social avec les migrants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7. Les bases théoriques de la correction socio-psychologique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8. La connaissance des aspects spécifiques de l'enseignement des  migrants adultes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9. La connaissance des bases du travail social dans les situations de crise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10. La connaissance des bases de l'étude scientifique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11. La connaissance des particularités de l'adaptation sociale, des adultes et des enfants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12. La connaissance des bases de l'ethnopédagogie et de l'ethnopsychologie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13. La connaissance de la langue étrangère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14. La connaissance des particularités du milieu migratoire</w:t>
            </w:r>
          </w:p>
          <w:p w:rsidR="00EE746C" w:rsidRPr="00D64BE5" w:rsidRDefault="00EE746C" w:rsidP="00354E6C">
            <w:pPr>
              <w:snapToGrid w:val="0"/>
              <w:ind w:left="125"/>
            </w:pPr>
            <w:r w:rsidRPr="00D64BE5">
              <w:t>15. La connaissance des bases de la sociologie, pédagogie, psychologie, culturologie</w:t>
            </w:r>
          </w:p>
        </w:tc>
      </w:tr>
      <w:tr w:rsidR="00EE746C" w:rsidRPr="00D64BE5"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Pr="00D64BE5" w:rsidRDefault="00EE746C" w:rsidP="00354E6C">
            <w:pPr>
              <w:pStyle w:val="Contenudetableau"/>
              <w:snapToGrid w:val="0"/>
              <w:jc w:val="both"/>
              <w:rPr>
                <w:lang w:val="ru-RU"/>
              </w:rPr>
            </w:pPr>
            <w:r>
              <w:t>O</w:t>
            </w:r>
            <w:r w:rsidRPr="00D64BE5">
              <w:t>bservations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46C" w:rsidRDefault="00EE746C" w:rsidP="00354E6C">
            <w:pPr>
              <w:pStyle w:val="Contenudetableau"/>
              <w:snapToGrid w:val="0"/>
              <w:jc w:val="both"/>
              <w:rPr>
                <w:lang w:val="en-US"/>
              </w:rPr>
            </w:pPr>
            <w:r w:rsidRPr="0085323D">
              <w:rPr>
                <w:lang w:val="en-US"/>
              </w:rPr>
              <w:t>Les résultats de l'étude témoignent du tableau non contradictoire – dans les questions ouvertes et fermées du questionnaire, l'interview avec les experts on peut mettre en relief les unités stables thématiques</w:t>
            </w:r>
            <w:r>
              <w:rPr>
                <w:lang w:val="en-US"/>
              </w:rPr>
              <w:t>.</w:t>
            </w:r>
          </w:p>
          <w:p w:rsidR="00EE746C" w:rsidRPr="00D90DFF" w:rsidRDefault="00EE746C" w:rsidP="00354E6C">
            <w:pPr>
              <w:pStyle w:val="Contenudetableau"/>
              <w:snapToGrid w:val="0"/>
              <w:jc w:val="both"/>
              <w:rPr>
                <w:lang w:val="en-US"/>
              </w:rPr>
            </w:pPr>
            <w:r w:rsidRPr="0085323D">
              <w:rPr>
                <w:lang w:val="en-US"/>
              </w:rPr>
              <w:t>Ainsi, à titre des sphères problématiques des migrants on marque les problèmes de l'enseig</w:t>
            </w:r>
            <w:r>
              <w:rPr>
                <w:lang w:val="en-US"/>
              </w:rPr>
              <w:t>nement, les problèmes psikho</w:t>
            </w:r>
            <w:r w:rsidRPr="0085323D">
              <w:rPr>
                <w:lang w:val="en-US"/>
              </w:rPr>
              <w:t>-pédagogiques</w:t>
            </w:r>
            <w:r>
              <w:rPr>
                <w:lang w:val="en-US"/>
              </w:rPr>
              <w:t>,</w:t>
            </w:r>
            <w:r w:rsidRPr="008532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les problèmes </w:t>
            </w:r>
            <w:r w:rsidRPr="0085323D">
              <w:rPr>
                <w:lang w:val="en-US"/>
              </w:rPr>
              <w:t>de langue, le pl</w:t>
            </w:r>
            <w:r>
              <w:rPr>
                <w:lang w:val="en-US"/>
              </w:rPr>
              <w:t>acement, la coopération avec le pouvoir</w:t>
            </w:r>
            <w:r w:rsidRPr="0085323D">
              <w:rPr>
                <w:lang w:val="en-US"/>
              </w:rPr>
              <w:t>. Toutes les catégories des répondants ("les théoriciens" ainsi que "les praticiens"), ont indiqué que pour les migrants sont importantes les questions de l'adaptation sociale, le soutien social.</w:t>
            </w:r>
          </w:p>
        </w:tc>
      </w:tr>
    </w:tbl>
    <w:p w:rsidR="00EE746C" w:rsidRPr="00D90DFF" w:rsidRDefault="00EE746C" w:rsidP="004F49A4">
      <w:pPr>
        <w:rPr>
          <w:lang w:val="en-US"/>
        </w:rPr>
      </w:pPr>
    </w:p>
    <w:p w:rsidR="00EE746C" w:rsidRPr="00907192" w:rsidRDefault="00EE746C" w:rsidP="004F49A4">
      <w:pPr>
        <w:pStyle w:val="Header"/>
        <w:jc w:val="both"/>
      </w:pPr>
    </w:p>
    <w:p w:rsidR="00EE746C" w:rsidRDefault="00EE746C" w:rsidP="004F49A4"/>
    <w:p w:rsidR="00EE746C" w:rsidRDefault="00EE746C"/>
    <w:sectPr w:rsidR="00EE746C" w:rsidSect="0050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DF3"/>
    <w:multiLevelType w:val="hybridMultilevel"/>
    <w:tmpl w:val="D49CDBA0"/>
    <w:lvl w:ilvl="0" w:tplc="39BA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A4"/>
    <w:rsid w:val="00124A25"/>
    <w:rsid w:val="00127DC0"/>
    <w:rsid w:val="00226DB8"/>
    <w:rsid w:val="00314D55"/>
    <w:rsid w:val="003516B5"/>
    <w:rsid w:val="00354E6C"/>
    <w:rsid w:val="003D64D1"/>
    <w:rsid w:val="004E3693"/>
    <w:rsid w:val="004F49A4"/>
    <w:rsid w:val="0050284C"/>
    <w:rsid w:val="006E0FDB"/>
    <w:rsid w:val="0085323D"/>
    <w:rsid w:val="008A1CD5"/>
    <w:rsid w:val="00907192"/>
    <w:rsid w:val="00B25507"/>
    <w:rsid w:val="00D64BE5"/>
    <w:rsid w:val="00D90DFF"/>
    <w:rsid w:val="00E020F8"/>
    <w:rsid w:val="00EE746C"/>
    <w:rsid w:val="00F34C90"/>
    <w:rsid w:val="00F43951"/>
    <w:rsid w:val="00F92AC2"/>
    <w:rsid w:val="00FA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A4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9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9A4"/>
    <w:rPr>
      <w:rFonts w:ascii="Times New Roman" w:hAnsi="Times New Roman" w:cs="Times New Roman"/>
      <w:sz w:val="24"/>
      <w:szCs w:val="24"/>
      <w:lang w:val="fr-FR" w:eastAsia="ar-SA" w:bidi="ar-SA"/>
    </w:rPr>
  </w:style>
  <w:style w:type="paragraph" w:customStyle="1" w:styleId="Contenudetableau">
    <w:name w:val="Contenu de tableau"/>
    <w:basedOn w:val="Normal"/>
    <w:uiPriority w:val="99"/>
    <w:rsid w:val="004F49A4"/>
    <w:pPr>
      <w:suppressLineNumbers/>
    </w:pPr>
  </w:style>
  <w:style w:type="paragraph" w:styleId="BodyTextIndent2">
    <w:name w:val="Body Text Indent 2"/>
    <w:basedOn w:val="Normal"/>
    <w:link w:val="BodyTextIndent2Char"/>
    <w:uiPriority w:val="99"/>
    <w:rsid w:val="004F49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49A4"/>
    <w:rPr>
      <w:rFonts w:ascii="Times New Roman" w:hAnsi="Times New Roman" w:cs="Times New Roman"/>
      <w:sz w:val="24"/>
      <w:szCs w:val="24"/>
      <w:lang w:val="fr-FR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F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9A4"/>
    <w:rPr>
      <w:rFonts w:ascii="Tahoma" w:hAnsi="Tahoma" w:cs="Tahoma"/>
      <w:sz w:val="16"/>
      <w:szCs w:val="16"/>
      <w:lang w:val="fr-F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595</Words>
  <Characters>3393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FSSP</cp:lastModifiedBy>
  <cp:revision>2</cp:revision>
  <dcterms:created xsi:type="dcterms:W3CDTF">2013-04-01T07:36:00Z</dcterms:created>
  <dcterms:modified xsi:type="dcterms:W3CDTF">2013-04-01T07:36:00Z</dcterms:modified>
</cp:coreProperties>
</file>